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09627" w14:textId="64155B59" w:rsidR="00023D10" w:rsidRPr="00C4744A" w:rsidRDefault="00023D10" w:rsidP="00ED31E4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6"/>
          <w:szCs w:val="24"/>
          <w:lang w:val="en-AU"/>
        </w:rPr>
      </w:pPr>
      <w:r w:rsidRPr="00C4744A">
        <w:rPr>
          <w:rFonts w:asciiTheme="minorHAnsi" w:hAnsiTheme="minorHAnsi" w:cstheme="minorHAnsi"/>
          <w:b/>
          <w:bCs/>
          <w:sz w:val="26"/>
          <w:szCs w:val="24"/>
          <w:lang w:val="en-AU"/>
        </w:rPr>
        <w:t>Annex 1</w:t>
      </w:r>
      <w:r w:rsidR="00640130" w:rsidRPr="00C4744A">
        <w:rPr>
          <w:rFonts w:asciiTheme="minorHAnsi" w:hAnsiTheme="minorHAnsi" w:cstheme="minorHAnsi"/>
          <w:b/>
          <w:bCs/>
          <w:sz w:val="26"/>
          <w:szCs w:val="24"/>
          <w:lang w:val="en-AU"/>
        </w:rPr>
        <w:t>: Training modules for capacity building program</w:t>
      </w:r>
    </w:p>
    <w:p w14:paraId="1F24A9CC" w14:textId="77777777" w:rsidR="00BE5DF0" w:rsidRPr="00C4744A" w:rsidRDefault="00BE5DF0" w:rsidP="00A83E79">
      <w:pPr>
        <w:spacing w:after="0" w:line="240" w:lineRule="auto"/>
        <w:jc w:val="both"/>
        <w:rPr>
          <w:rFonts w:asciiTheme="minorHAnsi" w:hAnsiTheme="minorHAnsi" w:cstheme="minorHAnsi"/>
          <w:lang w:val="en-AU"/>
        </w:rPr>
      </w:pPr>
    </w:p>
    <w:p w14:paraId="066CC9BC" w14:textId="1AAFBD15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1. Fundamentals of Infrastructure Bonds</w:t>
      </w:r>
    </w:p>
    <w:p w14:paraId="1683F39C" w14:textId="44D495CB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 xml:space="preserve">Overview of infrastructure bonds: Purpose, types (e.g., revenue bonds, project bonds), </w:t>
      </w:r>
      <w:r w:rsidR="0038759F">
        <w:rPr>
          <w:rFonts w:asciiTheme="minorHAnsi" w:eastAsia="Times New Roman" w:hAnsiTheme="minorHAnsi" w:cstheme="minorHAnsi"/>
          <w:lang w:eastAsia="en-AU"/>
        </w:rPr>
        <w:t xml:space="preserve">features, </w:t>
      </w:r>
      <w:r w:rsidRPr="00C4744A">
        <w:rPr>
          <w:rFonts w:asciiTheme="minorHAnsi" w:eastAsia="Times New Roman" w:hAnsiTheme="minorHAnsi" w:cstheme="minorHAnsi"/>
          <w:lang w:eastAsia="en-AU"/>
        </w:rPr>
        <w:t>and differences from other debt instruments.</w:t>
      </w:r>
    </w:p>
    <w:p w14:paraId="5F2577FE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Key stakeholders: Issuers, investors, governments, and development banks.</w:t>
      </w:r>
    </w:p>
    <w:p w14:paraId="3B7940B0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Role of regulators in ensuring transparency, investor protection, and market stability.</w:t>
      </w:r>
    </w:p>
    <w:p w14:paraId="35B36B9E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2. Regulatory Framework and Compliance</w:t>
      </w:r>
    </w:p>
    <w:p w14:paraId="3F345168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National and international regulations governing infrastructure bonds (e.g., SEC rules, IOSCO principles).</w:t>
      </w:r>
    </w:p>
    <w:p w14:paraId="5523E7C9" w14:textId="0E6ACFE8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Compliance requirements for issuers (disclosures, credit ratings, auditing</w:t>
      </w:r>
      <w:r w:rsidR="0038759F">
        <w:rPr>
          <w:rFonts w:asciiTheme="minorHAnsi" w:eastAsia="Times New Roman" w:hAnsiTheme="minorHAnsi" w:cstheme="minorHAnsi"/>
          <w:lang w:eastAsia="en-AU"/>
        </w:rPr>
        <w:t>, taxation</w:t>
      </w:r>
      <w:r w:rsidRPr="00C4744A">
        <w:rPr>
          <w:rFonts w:asciiTheme="minorHAnsi" w:eastAsia="Times New Roman" w:hAnsiTheme="minorHAnsi" w:cstheme="minorHAnsi"/>
          <w:lang w:eastAsia="en-AU"/>
        </w:rPr>
        <w:t>).</w:t>
      </w:r>
    </w:p>
    <w:p w14:paraId="5D7FDE2A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Cross-border infrastructure bonds and jurisdictional challenges.</w:t>
      </w:r>
    </w:p>
    <w:p w14:paraId="0D7ACA6D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3. Risk Assessment and Mitigation</w:t>
      </w:r>
    </w:p>
    <w:p w14:paraId="3AB470EB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Identifying risks unique to infrastructure projects (construction delays, revenue volatility, political/regulatory risks).</w:t>
      </w:r>
    </w:p>
    <w:p w14:paraId="375CBF7D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Quantitative risk assessment tools (stress testing, scenario analysis, Monte Carlo simulations).</w:t>
      </w:r>
    </w:p>
    <w:p w14:paraId="7C2AE943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Mitigation strategies (escrow accounts, guarantees, insurance).</w:t>
      </w:r>
    </w:p>
    <w:p w14:paraId="15439ACA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4. Financial Analysis and Valuation</w:t>
      </w:r>
    </w:p>
    <w:p w14:paraId="5D95FD24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Evaluating project feasibility studies and financial models.</w:t>
      </w:r>
    </w:p>
    <w:p w14:paraId="5E1D2C09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Cash flow analysis, debt service coverage ratios (DSCR), and internal rate of return (IRR).</w:t>
      </w:r>
    </w:p>
    <w:p w14:paraId="202F4CEF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Assessing creditworthiness of issuers and projects (credit rating methodologies).</w:t>
      </w:r>
    </w:p>
    <w:p w14:paraId="51A7235F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5. Legal and Contractual Due Diligence</w:t>
      </w:r>
    </w:p>
    <w:p w14:paraId="1404D658" w14:textId="7C6628B5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 xml:space="preserve">Reviewing legal structures </w:t>
      </w:r>
      <w:r w:rsidR="0038759F">
        <w:rPr>
          <w:rFonts w:asciiTheme="minorHAnsi" w:eastAsia="Times New Roman" w:hAnsiTheme="minorHAnsi" w:cstheme="minorHAnsi"/>
          <w:lang w:eastAsia="en-AU"/>
        </w:rPr>
        <w:t xml:space="preserve">and capital structures </w:t>
      </w:r>
      <w:r w:rsidRPr="00C4744A">
        <w:rPr>
          <w:rFonts w:asciiTheme="minorHAnsi" w:eastAsia="Times New Roman" w:hAnsiTheme="minorHAnsi" w:cstheme="minorHAnsi"/>
          <w:lang w:eastAsia="en-AU"/>
        </w:rPr>
        <w:t>(SPVs, escrow agreements, collateral).</w:t>
      </w:r>
    </w:p>
    <w:p w14:paraId="189FB7DA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Contract enforcement, dispute resolution mechanisms, and investor rights.</w:t>
      </w:r>
    </w:p>
    <w:p w14:paraId="425CDD6B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Bankruptcy laws and restructuring frameworks for infrastructure projects.</w:t>
      </w:r>
    </w:p>
    <w:p w14:paraId="7FA726B0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6. Environmental, Social, and Governance (ESG) Considerations</w:t>
      </w:r>
    </w:p>
    <w:p w14:paraId="4A841F74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Integrating ESG criteria into bond assessments (e.g., climate resilience, community impact).</w:t>
      </w:r>
    </w:p>
    <w:p w14:paraId="20A32871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Monitoring ESG compliance post-issuance.</w:t>
      </w:r>
    </w:p>
    <w:p w14:paraId="2E534474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7. Project Due Diligence and Verification</w:t>
      </w:r>
    </w:p>
    <w:p w14:paraId="4B75E1F8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Technical feasibility of infrastructure projects (engineering reports, demand forecasts).</w:t>
      </w:r>
    </w:p>
    <w:p w14:paraId="046ABA0B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Forensic accounting and fraud detection in project documentation.</w:t>
      </w:r>
    </w:p>
    <w:p w14:paraId="0D6FEE66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Independent third-party verification processes.</w:t>
      </w:r>
    </w:p>
    <w:p w14:paraId="1A196D96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8. Market Dynamics and Investor Perspectives</w:t>
      </w:r>
    </w:p>
    <w:p w14:paraId="5C8DE59D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Understanding investor appetites (institutional vs. retail, domestic vs. foreign).</w:t>
      </w:r>
    </w:p>
    <w:p w14:paraId="4AAE94DF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Pricing mechanisms, yield curves, and secondary market liquidity.</w:t>
      </w:r>
    </w:p>
    <w:p w14:paraId="26920AE0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Impact of macroeconomic factors (interest rates, inflation) on infrastructure bonds.</w:t>
      </w:r>
    </w:p>
    <w:p w14:paraId="4BB80160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9. Stakeholder Engagement and Communication</w:t>
      </w:r>
    </w:p>
    <w:p w14:paraId="6D199D15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Effective communication with issuers, investors, and policymakers.</w:t>
      </w:r>
    </w:p>
    <w:p w14:paraId="0AAC2D56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Public reporting standards and transparency requirements.</w:t>
      </w:r>
    </w:p>
    <w:p w14:paraId="0A53F5B7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 xml:space="preserve">Crisis communication in case of project </w:t>
      </w:r>
      <w:proofErr w:type="gramStart"/>
      <w:r w:rsidRPr="00C4744A">
        <w:rPr>
          <w:rFonts w:asciiTheme="minorHAnsi" w:eastAsia="Times New Roman" w:hAnsiTheme="minorHAnsi" w:cstheme="minorHAnsi"/>
          <w:lang w:eastAsia="en-AU"/>
        </w:rPr>
        <w:t>defaults</w:t>
      </w:r>
      <w:proofErr w:type="gramEnd"/>
      <w:r w:rsidRPr="00C4744A">
        <w:rPr>
          <w:rFonts w:asciiTheme="minorHAnsi" w:eastAsia="Times New Roman" w:hAnsiTheme="minorHAnsi" w:cstheme="minorHAnsi"/>
          <w:lang w:eastAsia="en-AU"/>
        </w:rPr>
        <w:t xml:space="preserve"> or controversies.</w:t>
      </w:r>
    </w:p>
    <w:p w14:paraId="52062D2B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10. Ethics and Anti-Corruption Measures</w:t>
      </w:r>
    </w:p>
    <w:p w14:paraId="51FFB398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Identifying conflicts of interest and bribery risks in bond approvals.</w:t>
      </w:r>
    </w:p>
    <w:p w14:paraId="5999BA6A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Best practices for maintaining regulatory independence and integrity.</w:t>
      </w:r>
    </w:p>
    <w:p w14:paraId="7991596F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Anti-money laundering (AML) checks in bond transactions.</w:t>
      </w:r>
    </w:p>
    <w:p w14:paraId="5820EADD" w14:textId="77777777" w:rsidR="00BE5DF0" w:rsidRPr="00C4744A" w:rsidRDefault="00BE5DF0" w:rsidP="00BE5DF0">
      <w:pPr>
        <w:tabs>
          <w:tab w:val="left" w:pos="284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b/>
          <w:bCs/>
          <w:lang w:eastAsia="en-AU"/>
        </w:rPr>
        <w:t>11. Post-Issuance Monitoring and Enforcement</w:t>
      </w:r>
    </w:p>
    <w:p w14:paraId="01DEFDBA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Tracking project milestones and financial performance.</w:t>
      </w:r>
    </w:p>
    <w:p w14:paraId="62B86916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>Enforcement mechanisms for non-compliance (penalties, bond recalls).</w:t>
      </w:r>
    </w:p>
    <w:p w14:paraId="57A46AC0" w14:textId="77777777" w:rsidR="00BE5DF0" w:rsidRPr="00C4744A" w:rsidRDefault="00BE5DF0" w:rsidP="00BE5DF0">
      <w:pPr>
        <w:numPr>
          <w:ilvl w:val="1"/>
          <w:numId w:val="1"/>
        </w:numPr>
        <w:tabs>
          <w:tab w:val="left" w:pos="284"/>
          <w:tab w:val="num" w:pos="720"/>
        </w:tabs>
        <w:spacing w:after="0" w:line="240" w:lineRule="auto"/>
        <w:ind w:left="709"/>
        <w:jc w:val="both"/>
        <w:rPr>
          <w:rFonts w:asciiTheme="minorHAnsi" w:eastAsia="Times New Roman" w:hAnsiTheme="minorHAnsi" w:cstheme="minorHAnsi"/>
          <w:lang w:eastAsia="en-AU"/>
        </w:rPr>
      </w:pPr>
      <w:r w:rsidRPr="00C4744A">
        <w:rPr>
          <w:rFonts w:asciiTheme="minorHAnsi" w:eastAsia="Times New Roman" w:hAnsiTheme="minorHAnsi" w:cstheme="minorHAnsi"/>
          <w:lang w:eastAsia="en-AU"/>
        </w:rPr>
        <w:t xml:space="preserve">Handling </w:t>
      </w:r>
      <w:proofErr w:type="gramStart"/>
      <w:r w:rsidRPr="00C4744A">
        <w:rPr>
          <w:rFonts w:asciiTheme="minorHAnsi" w:eastAsia="Times New Roman" w:hAnsiTheme="minorHAnsi" w:cstheme="minorHAnsi"/>
          <w:lang w:eastAsia="en-AU"/>
        </w:rPr>
        <w:t>defaults</w:t>
      </w:r>
      <w:proofErr w:type="gramEnd"/>
      <w:r w:rsidRPr="00C4744A">
        <w:rPr>
          <w:rFonts w:asciiTheme="minorHAnsi" w:eastAsia="Times New Roman" w:hAnsiTheme="minorHAnsi" w:cstheme="minorHAnsi"/>
          <w:lang w:eastAsia="en-AU"/>
        </w:rPr>
        <w:t xml:space="preserve"> and restructuring processes.</w:t>
      </w:r>
    </w:p>
    <w:p w14:paraId="697F40B3" w14:textId="77777777" w:rsidR="00EC0E2C" w:rsidRPr="00C4744A" w:rsidRDefault="00EC0E2C" w:rsidP="00ED31E4">
      <w:pPr>
        <w:spacing w:before="240" w:after="0" w:line="280" w:lineRule="exact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097EDF">
      <w:headerReference w:type="default" r:id="rId11"/>
      <w:footerReference w:type="default" r:id="rId12"/>
      <w:pgSz w:w="11909" w:h="16834" w:code="9"/>
      <w:pgMar w:top="1152" w:right="1440" w:bottom="1152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089D0" w14:textId="77777777" w:rsidR="006C2D3B" w:rsidRDefault="006C2D3B" w:rsidP="00171482">
      <w:pPr>
        <w:spacing w:after="0" w:line="240" w:lineRule="auto"/>
      </w:pPr>
      <w:r>
        <w:separator/>
      </w:r>
    </w:p>
  </w:endnote>
  <w:endnote w:type="continuationSeparator" w:id="0">
    <w:p w14:paraId="0B71DE5E" w14:textId="77777777" w:rsidR="006C2D3B" w:rsidRDefault="006C2D3B" w:rsidP="00171482">
      <w:pPr>
        <w:spacing w:after="0" w:line="240" w:lineRule="auto"/>
      </w:pPr>
      <w:r>
        <w:continuationSeparator/>
      </w:r>
    </w:p>
  </w:endnote>
  <w:endnote w:type="continuationNotice" w:id="1">
    <w:p w14:paraId="1D22BD60" w14:textId="77777777" w:rsidR="006C2D3B" w:rsidRDefault="006C2D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FF13F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1F74B" w14:textId="77777777" w:rsidR="006C2D3B" w:rsidRDefault="006C2D3B" w:rsidP="00171482">
      <w:pPr>
        <w:spacing w:after="0" w:line="240" w:lineRule="auto"/>
      </w:pPr>
      <w:r>
        <w:separator/>
      </w:r>
    </w:p>
  </w:footnote>
  <w:footnote w:type="continuationSeparator" w:id="0">
    <w:p w14:paraId="197DA2C1" w14:textId="77777777" w:rsidR="006C2D3B" w:rsidRDefault="006C2D3B" w:rsidP="00171482">
      <w:pPr>
        <w:spacing w:after="0" w:line="240" w:lineRule="auto"/>
      </w:pPr>
      <w:r>
        <w:continuationSeparator/>
      </w:r>
    </w:p>
  </w:footnote>
  <w:footnote w:type="continuationNotice" w:id="1">
    <w:p w14:paraId="48906DBC" w14:textId="77777777" w:rsidR="006C2D3B" w:rsidRDefault="006C2D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AA2A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97EDF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E7179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BB"/>
    <w:rsid w:val="004371F6"/>
    <w:rsid w:val="004401DD"/>
    <w:rsid w:val="00443CC0"/>
    <w:rsid w:val="00446A82"/>
    <w:rsid w:val="0044788D"/>
    <w:rsid w:val="0045113D"/>
    <w:rsid w:val="00451DFA"/>
    <w:rsid w:val="0045376F"/>
    <w:rsid w:val="00454477"/>
    <w:rsid w:val="00454902"/>
    <w:rsid w:val="00454C12"/>
    <w:rsid w:val="004552D2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740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31E4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9cc77a054411f602295a1c6335a42c0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651fc0eb74469f9d9ce5f2b98a112b30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D297C-9BA7-4CD0-BCEC-C0C242EDF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2</TotalTime>
  <Pages>1</Pages>
  <Words>377</Words>
  <Characters>2599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6</cp:revision>
  <cp:lastPrinted>2024-03-15T18:59:00Z</cp:lastPrinted>
  <dcterms:created xsi:type="dcterms:W3CDTF">2025-07-28T07:30:00Z</dcterms:created>
  <dcterms:modified xsi:type="dcterms:W3CDTF">2025-07-31T07:04:00Z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